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1"/>
        <w:keepLines w:val="1"/>
        <w:spacing w:after="80" w:before="360" w:lineRule="auto"/>
        <w:rPr/>
      </w:pPr>
      <w:r w:rsidDel="00000000" w:rsidR="00000000" w:rsidRPr="00000000">
        <w:rPr>
          <w:rtl w:val="0"/>
        </w:rPr>
        <w:t xml:space="preserve">RELAZIONE SULLE UTENZE E CONCORSO SPESE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Intervento: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Rifacimento Spogliatoi – Impianto sportivo “Palaverde”</w:t>
        <w:br w:type="textWrapping"/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ASD Dinamica Pensare Sport</w:t>
        <w:br w:type="textWrapping"/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Assetto di intestazione delle utenze e concorso spese da parte del Concessionario</w:t>
        <w:br w:type="textWrapping"/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Riferimenti normativi: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D.Lgs. 38/2021; D.Lgs. 36/2023; principi di equilibrio economico-finanziario della concessione; prassi concessorie impianti sportivi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1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1. Premessa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presente relazione è redatta nell’ambito dell’adeguamento della proposta ex art. 5 D.Lgs. 38/2021 e ha lo scopo di: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motivare la scelta di </w:t>
      </w:r>
      <w:r w:rsidDel="00000000" w:rsidR="00000000" w:rsidRPr="00000000">
        <w:rPr>
          <w:b w:val="1"/>
          <w:bCs w:val="1"/>
          <w:rtl w:val="0"/>
        </w:rPr>
        <w:t xml:space="preserve">mantenere le utenze intestate al Comune di Passirano</w:t>
      </w:r>
      <w:r w:rsidDel="00000000" w:rsidR="00000000" w:rsidRPr="00000000">
        <w:rPr>
          <w:rtl w:val="0"/>
        </w:rPr>
        <w:t xml:space="preserve"> (Ente proprietario);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definire l’impegno del proponente, quale futuro gestore/concessionario, a </w:t>
      </w:r>
      <w:r w:rsidDel="00000000" w:rsidR="00000000" w:rsidRPr="00000000">
        <w:rPr>
          <w:b w:val="1"/>
          <w:bCs w:val="1"/>
          <w:rtl w:val="0"/>
        </w:rPr>
        <w:t xml:space="preserve">concorrere alle spese</w:t>
      </w:r>
      <w:r w:rsidDel="00000000" w:rsidR="00000000" w:rsidRPr="00000000">
        <w:rPr>
          <w:rtl w:val="0"/>
        </w:rPr>
        <w:t xml:space="preserve"> delle utenze </w:t>
      </w:r>
      <w:r w:rsidDel="00000000" w:rsidR="00000000" w:rsidRPr="00000000">
        <w:rPr>
          <w:b w:val="1"/>
          <w:bCs w:val="1"/>
          <w:rtl w:val="0"/>
        </w:rPr>
        <w:t xml:space="preserve">di riscaldamento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bCs w:val="1"/>
          <w:rtl w:val="0"/>
        </w:rPr>
        <w:t xml:space="preserve">di energia elettrica</w:t>
      </w:r>
      <w:r w:rsidDel="00000000" w:rsidR="00000000" w:rsidRPr="00000000">
        <w:rPr>
          <w:rtl w:val="0"/>
        </w:rPr>
        <w:t xml:space="preserve">, secondo modalità e criteri stabiliti in convenzione.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sportivo oggetto di proposta è un’infrastruttura ad uso pubblico, con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multiutenza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fruizione variabile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nel corso dell’anno; per tale ragione l’assetto delle utenze deve garantire, da un lato, la corretta imputazione dei costi e, dall’altro, la sostenibilità del servizio per l’utenza e per l’Ente.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bookmarkStart w:colFirst="0" w:colLast="0" w:name="bookmark=id.hytf7egnq9l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rPr/>
      </w:pPr>
      <w:r w:rsidDel="00000000" w:rsidR="00000000" w:rsidRPr="00000000">
        <w:rPr>
          <w:rtl w:val="0"/>
        </w:rPr>
        <w:t xml:space="preserve">2. Inquadramento del modello gestionale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Palazzetto dello Sport “Palaverde” e l</w:t>
      </w:r>
      <w:r w:rsidDel="00000000" w:rsidR="00000000" w:rsidRPr="00000000">
        <w:rPr>
          <w:rtl w:val="0"/>
        </w:rPr>
        <w:t xml:space="preserve">a palestra della scuola di Camignone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sono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utilizzat</w:t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ASD Dinamica Pensare Sport (gestore proponente);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altre associazioni sportive del territorio;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gruppi scolastici e attività comunali;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attività agonistiche e preagonistiche;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eventi, saggi e manifestazioni a servizio della cittadinanza.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svolge una funzione pubblica e la presenza di più utilizzatori comporta che i consumi energetici e termici non siano integralmente riconducibili a un unico soggetto.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1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bookmarkStart w:colFirst="0" w:colLast="0" w:name="bookmark=id.24hwwj1vj6lq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rPr/>
      </w:pPr>
      <w:r w:rsidDel="00000000" w:rsidR="00000000" w:rsidRPr="00000000">
        <w:rPr>
          <w:rtl w:val="0"/>
        </w:rPr>
        <w:t xml:space="preserve">3. Assetto proposto: utenze intestate al Comune + concorso spese del gestore</w:t>
      </w:r>
    </w:p>
    <w:p w:rsidR="00000000" w:rsidDel="00000000" w:rsidP="00000000" w:rsidRDefault="00000000" w:rsidRPr="00000000" w14:paraId="00000014">
      <w:pPr>
        <w:pStyle w:val="Heading3"/>
        <w:rPr/>
      </w:pPr>
      <w:r w:rsidDel="00000000" w:rsidR="00000000" w:rsidRPr="00000000">
        <w:rPr>
          <w:rtl w:val="0"/>
        </w:rPr>
        <w:t xml:space="preserve">3.1 Intestazione delle utenze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propone che le utenze dell’impianto (in particolare le forniture energetiche e termiche funzionali all’edificio)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rimangano intestate al Comune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 quanto proprietario del bene e soggetto che garantisce la continuità della funzione pubblica dell’infrastruttura.</w:t>
      </w:r>
      <w:bookmarkStart w:colFirst="0" w:colLast="0" w:name="bookmark=id.9856b88vx5m6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rPr/>
      </w:pPr>
      <w:r w:rsidDel="00000000" w:rsidR="00000000" w:rsidRPr="00000000">
        <w:rPr>
          <w:rtl w:val="0"/>
        </w:rPr>
        <w:t xml:space="preserve">3.2 Concorso spese per energia elettrica e riscaldamento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 mantenendo l’intestazione al Comune,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ASD Dinamica Pensare Sport si impegna a concorrere alle spese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relative a: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energia elettrica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riscaldamento / climatizzazione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(ove presente).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concorso spese è finalizzato a: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assicurare collaborazione e responsabilizzazione del gestore sulla voce di costo più impattante;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mantenere un equilibrio economico-finanziario sostenibile nel PEF;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evitare trasferimenti integrali di rischio su una sola parte in presenza di multiutenza.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1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bookmarkStart w:colFirst="0" w:colLast="0" w:name="bookmark=id.l6bzehrpwx0j" w:id="3"/>
      <w:bookmarkEnd w:id="3"/>
      <w:bookmarkStart w:colFirst="0" w:colLast="0" w:name="bookmark=id.yqtoj3hdt9t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rPr/>
      </w:pPr>
      <w:r w:rsidDel="00000000" w:rsidR="00000000" w:rsidRPr="00000000">
        <w:rPr>
          <w:rtl w:val="0"/>
        </w:rPr>
        <w:t xml:space="preserve">4. Motivazioni tecniche a supporto dell’assetto proposto</w:t>
      </w:r>
    </w:p>
    <w:p w:rsidR="00000000" w:rsidDel="00000000" w:rsidP="00000000" w:rsidRDefault="00000000" w:rsidRPr="00000000" w14:paraId="00000021">
      <w:pPr>
        <w:pStyle w:val="Heading3"/>
        <w:rPr/>
      </w:pPr>
      <w:r w:rsidDel="00000000" w:rsidR="00000000" w:rsidRPr="00000000">
        <w:rPr>
          <w:rtl w:val="0"/>
        </w:rPr>
        <w:t xml:space="preserve">4.1 Multiutenza e difficoltà di imputazione puntuale dei consumi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è caratterizzato da pluralità di utilizzatori, con fasce d’uso ampie e variabili. In assenza di: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sotto-contatori dedicati;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sistemi separati di contabilizzazione;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possibilità di attribuire i consumi a ciascun utilizzatore in modo oggettivo,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l’intestazione integrale al gestore rischierebbe di determinare una non corretta imputazione di costi generati anche da soggetti terzi.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L’assetto “utenze intestate al Comune + concorso spese” rappresenta una soluzione equilibrata: il Comune mantiene la regia delle utenze dell’immobile multiutenza, mentre il gestore contribuisce in modo concordato alle componenti più rilevanti (energia e riscaldamento).</w:t>
      </w:r>
      <w:bookmarkStart w:colFirst="0" w:colLast="0" w:name="bookmark=id.8psjlz33ii91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rPr/>
      </w:pPr>
      <w:r w:rsidDel="00000000" w:rsidR="00000000" w:rsidRPr="00000000">
        <w:rPr>
          <w:rtl w:val="0"/>
        </w:rPr>
        <w:t xml:space="preserve">4.2 Stabilità gestionale e continuità del servizio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costi energetici e di riscaldamento sono soggetti a volatilità e oscillazioni anche improvvise. Un trasferimento totale del rischio al concessionario determinerebbe: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instabilità finanziaria, soprattutto per un soggetto senza scopo di lucro;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pressione al rialzo sulle tariffe/quote per le famiglie;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possibile riduzione della qualità del servizio o delle fasce di apertura.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concorso spese consente di mantenere la gestione stabile, senza rinunciare a una partecipazione attiva del gestore al contenimento dei consumi.</w:t>
      </w:r>
      <w:bookmarkStart w:colFirst="0" w:colLast="0" w:name="bookmark=id.e1mgw3gdbgl4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rPr/>
      </w:pPr>
      <w:r w:rsidDel="00000000" w:rsidR="00000000" w:rsidRPr="00000000">
        <w:rPr>
          <w:rtl w:val="0"/>
        </w:rPr>
        <w:t xml:space="preserve">4.3 Efficienza e responsabilizzazione: ruolo del gestore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gestore, nella conduzione quotidiana dell’impianto (aperture/chiusure, controllo accessi, programmazione oraria), è il soggetto più idoneo a: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implementare procedure di risparmio energetico;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presidiare spegnimenti, fasce orarie, regolazioni impianti;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sensibilizzare utenti e associazioni all’uso corretto degli spazi.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concorso spese su energia e riscaldamento rafforza tale responsabilizzazione, incentivando condotte virtuose e misure di efficientamento.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1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bookmarkStart w:colFirst="0" w:colLast="0" w:name="bookmark=id.2r5m0aws6orf" w:id="7"/>
      <w:bookmarkEnd w:id="7"/>
      <w:bookmarkStart w:colFirst="0" w:colLast="0" w:name="bookmark=id.jne9sjqrcsq3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rPr/>
      </w:pPr>
      <w:r w:rsidDel="00000000" w:rsidR="00000000" w:rsidRPr="00000000">
        <w:rPr>
          <w:rtl w:val="0"/>
        </w:rPr>
        <w:t xml:space="preserve">5. Motivazioni economiche e coerenza con il PEF</w:t>
      </w:r>
    </w:p>
    <w:p w:rsidR="00000000" w:rsidDel="00000000" w:rsidP="00000000" w:rsidRDefault="00000000" w:rsidRPr="00000000" w14:paraId="00000036">
      <w:pPr>
        <w:pStyle w:val="Heading3"/>
        <w:rPr/>
      </w:pPr>
      <w:r w:rsidDel="00000000" w:rsidR="00000000" w:rsidRPr="00000000">
        <w:rPr>
          <w:rtl w:val="0"/>
        </w:rPr>
        <w:t xml:space="preserve">5.1 Impatto di energia e riscaldamento sull’equilibrio economico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impianti di queste dimensioni,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energia elettrica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riscaldamento/climatizzazione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rappresentano una componente di costo potenzialmente superiore a molte voci di gestione ordinaria.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un PEF quindicennale, la sostenibilità richiede che: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rischio di costo non sia integralmente concentrato sul concessionario in presenza di multiutenza;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contributo del gestore sia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programmabile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(quota definita) e quindi incorporabile nel PEF;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siano preservate tariffe accessibili e la funzione sociale dell’impianto.</w:t>
      </w:r>
      <w:bookmarkStart w:colFirst="0" w:colLast="0" w:name="bookmark=id.t65bmpafr4vi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rPr/>
      </w:pPr>
      <w:r w:rsidDel="00000000" w:rsidR="00000000" w:rsidRPr="00000000">
        <w:rPr>
          <w:rtl w:val="0"/>
        </w:rPr>
        <w:t xml:space="preserve">5.2 Natura dell’ASD proponente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ASD Dinamica Pensare Sport è un ente sportivo dilettantistico senza scopo di lucro, che reinveste gli introiti nell’attività sportiva e nei servizi alla cittadinanza.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L’assetto proposto consente un concorso spese sostenibile e difendibile, evitando che eventuali aumenti straordinari ricadano integralmente su un soggetto non profit, con ricadute negative su famiglie e utenti.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1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bookmarkStart w:colFirst="0" w:colLast="0" w:name="bookmark=id.7efy4rgvnl54" w:id="10"/>
      <w:bookmarkEnd w:id="10"/>
      <w:bookmarkStart w:colFirst="0" w:colLast="0" w:name="bookmark=id.bgbssaw74gy7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/>
      </w:pPr>
      <w:r w:rsidDel="00000000" w:rsidR="00000000" w:rsidRPr="00000000">
        <w:rPr>
          <w:rtl w:val="0"/>
        </w:rPr>
        <w:t xml:space="preserve">6. Motivazioni sociali e interesse pubblico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è una infrastruttura comunale a servizio di: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bambini e giovani;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scuole e iniziative istituzionali;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associazioni e gruppi sportivi;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attività inclusive e sociali.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Mantenere le utenze intestate al Comune tutela la funzione pubblica del bene; il concorso spese del gestore su energia e riscaldamento consente, al contempo, di condividere i costi in modo proporzionato, preservando l’accessibilità economica e la continuità delle attività.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53760" cy="29210"/>
                <wp:effectExtent b="0" l="0" r="0" t="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374200" y="3770460"/>
                          <a:ext cx="5943600" cy="1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53760" cy="29210"/>
                <wp:effectExtent b="0" l="0" r="0" t="0"/>
                <wp:docPr id="1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760" cy="292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bookmarkStart w:colFirst="0" w:colLast="0" w:name="bookmark=id.kg4umgni52xf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rPr/>
      </w:pPr>
      <w:r w:rsidDel="00000000" w:rsidR="00000000" w:rsidRPr="00000000">
        <w:rPr>
          <w:rtl w:val="0"/>
        </w:rPr>
        <w:t xml:space="preserve">7. Conclusioni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L’assetto “utenze intestate al Comune + concorso spese del gestore” costituisce una soluzione equilibrata e coerente con la natura multiutenza dell’impianto.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particolare: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Comune mantiene la corretta gestione delle utenze dell’immobile pubblico;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ASD Dinamica Pensare Sport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concorre alle spese di energia elettrica e riscaldamento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 forma programmabile e convenzionalmente disciplinata;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preserva l’equilibrio economico del PEF, la continuità del servizio e l’accessibilità per i cittadini;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rafforza la responsabilizzazione del gestore nel contenimento dei consumi.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soluzione proposta risulta complessivamente la più sostenibile e vantaggiosa per l’Ente e per la collettività, mantenendo un’impostazione tecnica, economica e sociale difendibile nell’ambito della concessione.</w:t>
      </w:r>
    </w:p>
    <w:sectPr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decimal"/>
      <w:lvlText w:val="%2)"/>
      <w:lvlJc w:val="left"/>
      <w:pPr>
        <w:ind w:left="1440" w:hanging="360"/>
      </w:pPr>
      <w:rPr/>
    </w:lvl>
    <w:lvl w:ilvl="2">
      <w:start w:val="1"/>
      <w:numFmt w:val="decimal"/>
      <w:lvlText w:val="%3)"/>
      <w:lvlJc w:val="left"/>
      <w:pPr>
        <w:ind w:left="2160" w:hanging="360"/>
      </w:pPr>
      <w:rPr/>
    </w:lvl>
    <w:lvl w:ilvl="3">
      <w:start w:val="1"/>
      <w:numFmt w:val="decimal"/>
      <w:lvlText w:val="%4)"/>
      <w:lvlJc w:val="left"/>
      <w:pPr>
        <w:ind w:left="2880" w:hanging="360"/>
      </w:pPr>
      <w:rPr/>
    </w:lvl>
    <w:lvl w:ilvl="4">
      <w:start w:val="1"/>
      <w:numFmt w:val="decimal"/>
      <w:lvlText w:val="%5)"/>
      <w:lvlJc w:val="left"/>
      <w:pPr>
        <w:ind w:left="3600" w:hanging="360"/>
      </w:pPr>
      <w:rPr/>
    </w:lvl>
    <w:lvl w:ilvl="5">
      <w:start w:val="1"/>
      <w:numFmt w:val="decimal"/>
      <w:lvlText w:val="%6)"/>
      <w:lvlJc w:val="left"/>
      <w:pPr>
        <w:ind w:left="4320" w:hanging="360"/>
      </w:pPr>
      <w:rPr/>
    </w:lvl>
    <w:lvl w:ilvl="6">
      <w:start w:val="1"/>
      <w:numFmt w:val="decimal"/>
      <w:lvlText w:val="%7)"/>
      <w:lvlJc w:val="left"/>
      <w:pPr>
        <w:ind w:left="5040" w:hanging="360"/>
      </w:pPr>
      <w:rPr/>
    </w:lvl>
    <w:lvl w:ilvl="7">
      <w:start w:val="1"/>
      <w:numFmt w:val="decimal"/>
      <w:lvlText w:val="%8)"/>
      <w:lvlJc w:val="left"/>
      <w:pPr>
        <w:ind w:left="5760" w:hanging="360"/>
      </w:pPr>
      <w:rPr/>
    </w:lvl>
    <w:lvl w:ilvl="8">
      <w:start w:val="1"/>
      <w:numFmt w:val="decimal"/>
      <w:lvlText w:val="%9)"/>
      <w:lvlJc w:val="left"/>
      <w:pPr>
        <w:ind w:left="6480" w:hanging="360"/>
      </w:pPr>
      <w:rPr/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7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before="0" w:line="24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"/>
    <w:next w:val="Corpodeltesto"/>
    <w:link w:val="Heading7Char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="" w:eastAsia="" w:cstheme="majorBidi" w:eastAsiaTheme="majorEastAsia"/>
      <w:color w:val="595959" w:themeColor="text1" w:themeTint="0000A6"/>
    </w:rPr>
  </w:style>
  <w:style w:type="paragraph" w:styleId="Titolo8">
    <w:name w:val="Heading 8"/>
    <w:basedOn w:val="Normal"/>
    <w:next w:val="Corpodeltesto"/>
    <w:link w:val="Heading8Char"/>
    <w:uiPriority w:val="9"/>
    <w:semiHidden w:val="1"/>
    <w:unhideWhenUsed w:val="1"/>
    <w:qFormat w:val="1"/>
    <w:rsid w:val="00A10FD9"/>
    <w:pPr>
      <w:keepNext w:val="1"/>
      <w:keepLines w:val="1"/>
      <w:spacing w:after="0" w:before="0"/>
      <w:outlineLvl w:val="7"/>
    </w:pPr>
    <w:rPr>
      <w:rFonts w:cs="" w:eastAsia=""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"/>
    <w:next w:val="Corpodeltesto"/>
    <w:link w:val="Heading9Char"/>
    <w:uiPriority w:val="9"/>
    <w:semiHidden w:val="1"/>
    <w:unhideWhenUsed w:val="1"/>
    <w:qFormat w:val="1"/>
    <w:rsid w:val="00A10FD9"/>
    <w:pPr>
      <w:keepNext w:val="1"/>
      <w:keepLines w:val="1"/>
      <w:spacing w:after="0" w:before="0"/>
      <w:outlineLvl w:val="8"/>
    </w:pPr>
    <w:rPr>
      <w:rFonts w:cs="" w:eastAsia=""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qFormat w:val="1"/>
    <w:rsid w:val="00A10FD9"/>
    <w:rPr>
      <w:rFonts w:ascii="Aptos Display" w:cs="" w:eastAsia="" w:hAnsi="Aptos Display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 w:val="1"/>
    <w:rsid w:val="00A10FD9"/>
    <w:rPr>
      <w:rFonts w:cs="" w:eastAsia=""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Heading1Char" w:customStyle="1">
    <w:name w:val="Heading 1 Char"/>
    <w:basedOn w:val="DefaultParagraphFont"/>
    <w:link w:val="Heading1"/>
    <w:uiPriority w:val="9"/>
    <w:qFormat w:val="1"/>
    <w:rsid w:val="00A10FD9"/>
    <w:rPr>
      <w:rFonts w:ascii="Aptos Display" w:cs="" w:eastAsia="" w:hAnsi="Aptos Display"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qFormat w:val="1"/>
    <w:rsid w:val="00A10FD9"/>
    <w:rPr>
      <w:rFonts w:ascii="Aptos Display" w:cs="" w:eastAsia="" w:hAnsi="Aptos Display"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qFormat w:val="1"/>
    <w:rsid w:val="00A10FD9"/>
    <w:rPr>
      <w:rFonts w:cs="" w:eastAsia=""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qFormat w:val="1"/>
    <w:rsid w:val="00A10FD9"/>
    <w:rPr>
      <w:rFonts w:cs="" w:eastAsia=""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qFormat w:val="1"/>
    <w:rsid w:val="00A10FD9"/>
    <w:rPr>
      <w:rFonts w:cs="" w:eastAsia=""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qFormat w:val="1"/>
    <w:rsid w:val="00A10FD9"/>
    <w:rPr>
      <w:rFonts w:cs="" w:eastAsia=""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qFormat w:val="1"/>
    <w:rsid w:val="00A10FD9"/>
    <w:rPr>
      <w:rFonts w:cs="" w:eastAsia=""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qFormat w:val="1"/>
    <w:rsid w:val="00A10FD9"/>
    <w:rPr>
      <w:rFonts w:cs="" w:eastAsia=""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qFormat w:val="1"/>
    <w:rsid w:val="00A10FD9"/>
    <w:rPr>
      <w:rFonts w:cs="" w:eastAsia=""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semiHidden w:val="1"/>
    <w:unhideWhenUsed w:val="1"/>
    <w:qFormat w:val="1"/>
    <w:rPr/>
  </w:style>
  <w:style w:type="character" w:styleId="BodyTextChar" w:customStyle="1">
    <w:name w:val="Body Text Char"/>
    <w:basedOn w:val="DefaultParagraphFont"/>
    <w:link w:val="BodyText"/>
    <w:qFormat w:val="1"/>
    <w:rPr/>
  </w:style>
  <w:style w:type="character" w:styleId="VerbatimChar" w:customStyle="1">
    <w:name w:val="Verbatim Char"/>
    <w:basedOn w:val="BodyTextChar"/>
    <w:qFormat w:val="1"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BodyTextChar"/>
    <w:qFormat w:val="1"/>
    <w:rPr>
      <w:vertAlign w:val="superscript"/>
    </w:rPr>
  </w:style>
  <w:style w:type="character" w:styleId="CollegamentoInternet">
    <w:name w:val="Collegamento Internet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 w:val="1"/>
    <w:rPr>
      <w:b w:val="1"/>
      <w:color w:val="007020"/>
    </w:rPr>
  </w:style>
  <w:style w:type="character" w:styleId="DataTypeTok" w:customStyle="1">
    <w:name w:val="DataTypeTok"/>
    <w:basedOn w:val="VerbatimChar"/>
    <w:qFormat w:val="1"/>
    <w:rPr>
      <w:color w:val="902000"/>
    </w:rPr>
  </w:style>
  <w:style w:type="character" w:styleId="DecValTok" w:customStyle="1">
    <w:name w:val="DecValTok"/>
    <w:basedOn w:val="VerbatimChar"/>
    <w:qFormat w:val="1"/>
    <w:rPr>
      <w:color w:val="40a070"/>
    </w:rPr>
  </w:style>
  <w:style w:type="character" w:styleId="BaseNTok" w:customStyle="1">
    <w:name w:val="BaseNTok"/>
    <w:basedOn w:val="VerbatimChar"/>
    <w:qFormat w:val="1"/>
    <w:rPr>
      <w:color w:val="40a070"/>
    </w:rPr>
  </w:style>
  <w:style w:type="character" w:styleId="FloatTok" w:customStyle="1">
    <w:name w:val="FloatTok"/>
    <w:basedOn w:val="VerbatimChar"/>
    <w:qFormat w:val="1"/>
    <w:rPr>
      <w:color w:val="40a070"/>
    </w:rPr>
  </w:style>
  <w:style w:type="character" w:styleId="ConstantTok" w:customStyle="1">
    <w:name w:val="ConstantTok"/>
    <w:basedOn w:val="VerbatimChar"/>
    <w:qFormat w:val="1"/>
    <w:rPr>
      <w:color w:val="880000"/>
    </w:rPr>
  </w:style>
  <w:style w:type="character" w:styleId="CharTok" w:customStyle="1">
    <w:name w:val="CharTok"/>
    <w:basedOn w:val="VerbatimChar"/>
    <w:qFormat w:val="1"/>
    <w:rPr>
      <w:color w:val="4070a0"/>
    </w:rPr>
  </w:style>
  <w:style w:type="character" w:styleId="SpecialCharTok" w:customStyle="1">
    <w:name w:val="SpecialCharTok"/>
    <w:basedOn w:val="VerbatimChar"/>
    <w:qFormat w:val="1"/>
    <w:rPr>
      <w:color w:val="4070a0"/>
    </w:rPr>
  </w:style>
  <w:style w:type="character" w:styleId="StringTok" w:customStyle="1">
    <w:name w:val="StringTok"/>
    <w:basedOn w:val="VerbatimChar"/>
    <w:qFormat w:val="1"/>
    <w:rPr>
      <w:color w:val="4070a0"/>
    </w:rPr>
  </w:style>
  <w:style w:type="character" w:styleId="VerbatimStringTok" w:customStyle="1">
    <w:name w:val="VerbatimStringTok"/>
    <w:basedOn w:val="VerbatimChar"/>
    <w:qFormat w:val="1"/>
    <w:rPr>
      <w:color w:val="4070a0"/>
    </w:rPr>
  </w:style>
  <w:style w:type="character" w:styleId="SpecialStringTok" w:customStyle="1">
    <w:name w:val="SpecialStringTok"/>
    <w:basedOn w:val="VerbatimChar"/>
    <w:qFormat w:val="1"/>
    <w:rPr>
      <w:color w:val="bb6688"/>
    </w:rPr>
  </w:style>
  <w:style w:type="character" w:styleId="ImportTok" w:customStyle="1">
    <w:name w:val="ImportTok"/>
    <w:basedOn w:val="VerbatimChar"/>
    <w:qFormat w:val="1"/>
    <w:rPr>
      <w:b w:val="1"/>
      <w:color w:val="008000"/>
    </w:rPr>
  </w:style>
  <w:style w:type="character" w:styleId="CommentTok" w:customStyle="1">
    <w:name w:val="CommentTok"/>
    <w:basedOn w:val="VerbatimChar"/>
    <w:qFormat w:val="1"/>
    <w:rPr>
      <w:i w:val="1"/>
      <w:color w:val="60a0b0"/>
    </w:rPr>
  </w:style>
  <w:style w:type="character" w:styleId="DocumentationTok" w:customStyle="1">
    <w:name w:val="DocumentationTok"/>
    <w:basedOn w:val="VerbatimChar"/>
    <w:qFormat w:val="1"/>
    <w:rPr>
      <w:i w:val="1"/>
      <w:color w:val="ba2121"/>
    </w:rPr>
  </w:style>
  <w:style w:type="character" w:styleId="AnnotationTok" w:customStyle="1">
    <w:name w:val="AnnotationTok"/>
    <w:basedOn w:val="VerbatimChar"/>
    <w:qFormat w:val="1"/>
    <w:rPr>
      <w:b w:val="1"/>
      <w:i w:val="1"/>
      <w:color w:val="60a0b0"/>
    </w:rPr>
  </w:style>
  <w:style w:type="character" w:styleId="CommentVarTok" w:customStyle="1">
    <w:name w:val="CommentVarTok"/>
    <w:basedOn w:val="VerbatimChar"/>
    <w:qFormat w:val="1"/>
    <w:rPr>
      <w:b w:val="1"/>
      <w:i w:val="1"/>
      <w:color w:val="60a0b0"/>
    </w:rPr>
  </w:style>
  <w:style w:type="character" w:styleId="OtherTok" w:customStyle="1">
    <w:name w:val="OtherTok"/>
    <w:basedOn w:val="VerbatimChar"/>
    <w:qFormat w:val="1"/>
    <w:rPr>
      <w:color w:val="007020"/>
    </w:rPr>
  </w:style>
  <w:style w:type="character" w:styleId="FunctionTok" w:customStyle="1">
    <w:name w:val="FunctionTok"/>
    <w:basedOn w:val="VerbatimChar"/>
    <w:qFormat w:val="1"/>
    <w:rPr>
      <w:color w:val="06287e"/>
    </w:rPr>
  </w:style>
  <w:style w:type="character" w:styleId="VariableTok" w:customStyle="1">
    <w:name w:val="VariableTok"/>
    <w:basedOn w:val="VerbatimChar"/>
    <w:qFormat w:val="1"/>
    <w:rPr>
      <w:color w:val="19177c"/>
    </w:rPr>
  </w:style>
  <w:style w:type="character" w:styleId="ControlFlowTok" w:customStyle="1">
    <w:name w:val="ControlFlowTok"/>
    <w:basedOn w:val="VerbatimChar"/>
    <w:qFormat w:val="1"/>
    <w:rPr>
      <w:b w:val="1"/>
      <w:color w:val="007020"/>
    </w:rPr>
  </w:style>
  <w:style w:type="character" w:styleId="OperatorTok" w:customStyle="1">
    <w:name w:val="OperatorTok"/>
    <w:basedOn w:val="VerbatimChar"/>
    <w:qFormat w:val="1"/>
    <w:rPr>
      <w:color w:val="666666"/>
    </w:rPr>
  </w:style>
  <w:style w:type="character" w:styleId="BuiltInTok" w:customStyle="1">
    <w:name w:val="BuiltInTok"/>
    <w:basedOn w:val="VerbatimChar"/>
    <w:qFormat w:val="1"/>
    <w:rPr>
      <w:color w:val="008000"/>
    </w:rPr>
  </w:style>
  <w:style w:type="character" w:styleId="ExtensionTok" w:customStyle="1">
    <w:name w:val="ExtensionTok"/>
    <w:basedOn w:val="VerbatimChar"/>
    <w:qFormat w:val="1"/>
    <w:rPr/>
  </w:style>
  <w:style w:type="character" w:styleId="PreprocessorTok" w:customStyle="1">
    <w:name w:val="PreprocessorTok"/>
    <w:basedOn w:val="VerbatimChar"/>
    <w:qFormat w:val="1"/>
    <w:rPr>
      <w:color w:val="bc7a00"/>
    </w:rPr>
  </w:style>
  <w:style w:type="character" w:styleId="AttributeTok" w:customStyle="1">
    <w:name w:val="AttributeTok"/>
    <w:basedOn w:val="VerbatimChar"/>
    <w:qFormat w:val="1"/>
    <w:rPr>
      <w:color w:val="7d9029"/>
    </w:rPr>
  </w:style>
  <w:style w:type="character" w:styleId="RegionMarkerTok" w:customStyle="1">
    <w:name w:val="RegionMarkerTok"/>
    <w:basedOn w:val="VerbatimChar"/>
    <w:qFormat w:val="1"/>
    <w:rPr/>
  </w:style>
  <w:style w:type="character" w:styleId="InformationTok" w:customStyle="1">
    <w:name w:val="InformationTok"/>
    <w:basedOn w:val="VerbatimChar"/>
    <w:qFormat w:val="1"/>
    <w:rPr>
      <w:b w:val="1"/>
      <w:i w:val="1"/>
      <w:color w:val="60a0b0"/>
    </w:rPr>
  </w:style>
  <w:style w:type="character" w:styleId="WarningTok" w:customStyle="1">
    <w:name w:val="WarningTok"/>
    <w:basedOn w:val="VerbatimChar"/>
    <w:qFormat w:val="1"/>
    <w:rPr>
      <w:b w:val="1"/>
      <w:i w:val="1"/>
      <w:color w:val="60a0b0"/>
    </w:rPr>
  </w:style>
  <w:style w:type="character" w:styleId="AlertTok" w:customStyle="1">
    <w:name w:val="AlertTok"/>
    <w:basedOn w:val="VerbatimChar"/>
    <w:qFormat w:val="1"/>
    <w:rPr>
      <w:b w:val="1"/>
      <w:color w:val="ff0000"/>
    </w:rPr>
  </w:style>
  <w:style w:type="character" w:styleId="ErrorTok" w:customStyle="1">
    <w:name w:val="ErrorTok"/>
    <w:basedOn w:val="VerbatimChar"/>
    <w:qFormat w:val="1"/>
    <w:rPr>
      <w:b w:val="1"/>
      <w:color w:val="ff0000"/>
    </w:rPr>
  </w:style>
  <w:style w:type="character" w:styleId="NormalTok" w:customStyle="1">
    <w:name w:val="NormalTok"/>
    <w:basedOn w:val="VerbatimChar"/>
    <w:qFormat w:val="1"/>
    <w:rPr/>
  </w:style>
  <w:style w:type="character" w:styleId="Caratterinotaapidipagina">
    <w:name w:val="Caratteri nota a piè di pagina"/>
    <w:qFormat w:val="1"/>
    <w:rPr/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link w:val="BodyTextChar"/>
    <w:qFormat w:val="1"/>
    <w:pPr>
      <w:spacing w:after="180" w:before="18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link w:val="BodyTextChar"/>
    <w:qFormat w:val="1"/>
    <w:pPr>
      <w:spacing w:after="120" w:before="0"/>
    </w:pPr>
    <w:rPr>
      <w:i w:val="1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FirstParagraph" w:customStyle="1">
    <w:name w:val="First Paragraph"/>
    <w:basedOn w:val="Corpodeltesto"/>
    <w:next w:val="Corpodeltesto"/>
    <w:qFormat w:val="1"/>
    <w:pPr/>
    <w:rPr/>
  </w:style>
  <w:style w:type="paragraph" w:styleId="Compact" w:customStyle="1">
    <w:name w:val="Compact"/>
    <w:basedOn w:val="Corpodeltesto"/>
    <w:qFormat w:val="1"/>
    <w:pPr>
      <w:spacing w:after="36" w:before="36"/>
    </w:pPr>
    <w:rPr/>
  </w:style>
  <w:style w:type="paragraph" w:styleId="Author" w:customStyle="1">
    <w:name w:val="Author"/>
    <w:next w:val="Corpodeltesto"/>
    <w:qFormat w:val="1"/>
    <w:pPr>
      <w:keepNext w:val="1"/>
      <w:keepLines w:val="1"/>
      <w:widowControl w:val="1"/>
      <w:bidi w:val="0"/>
      <w:spacing w:after="200" w:before="0"/>
      <w:jc w:val="center"/>
    </w:pPr>
    <w:rPr>
      <w:rFonts w:ascii="Aptos" w:cs="" w:eastAsia="Aptos" w:hAnsi="Aptos" w:asciiTheme="minorHAnsi" w:cstheme="minorBidi" w:eastAsiaTheme="minorHAnsi" w:hAnsiTheme="minorHAnsi"/>
      <w:color w:val="auto"/>
      <w:kern w:val="0"/>
      <w:sz w:val="24"/>
      <w:szCs w:val="24"/>
      <w:lang w:bidi="ar-SA" w:eastAsia="en-US" w:val="en-US"/>
    </w:rPr>
  </w:style>
  <w:style w:type="paragraph" w:styleId="Date">
    <w:name w:val="Date"/>
    <w:next w:val="Corpodeltesto"/>
    <w:qFormat w:val="1"/>
    <w:pPr>
      <w:keepNext w:val="1"/>
      <w:keepLines w:val="1"/>
      <w:widowControl w:val="1"/>
      <w:bidi w:val="0"/>
      <w:spacing w:after="200" w:before="0"/>
      <w:jc w:val="center"/>
    </w:pPr>
    <w:rPr>
      <w:rFonts w:ascii="Aptos" w:cs="" w:eastAsia="Aptos" w:hAnsi="Aptos" w:asciiTheme="minorHAnsi" w:cstheme="minorBidi" w:eastAsiaTheme="minorHAnsi" w:hAnsiTheme="minorHAnsi"/>
      <w:color w:val="auto"/>
      <w:kern w:val="0"/>
      <w:sz w:val="24"/>
      <w:szCs w:val="24"/>
      <w:lang w:bidi="ar-SA" w:eastAsia="en-US" w:val="en-US"/>
    </w:rPr>
  </w:style>
  <w:style w:type="paragraph" w:styleId="AbstractTitle" w:customStyle="1">
    <w:name w:val="Abstract Title"/>
    <w:basedOn w:val="Normal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"/>
    <w:next w:val="Corpodel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phy">
    <w:name w:val="Bibliography"/>
    <w:basedOn w:val="Normal"/>
    <w:qFormat w:val="1"/>
    <w:pPr/>
    <w:rPr/>
  </w:style>
  <w:style w:type="paragraph" w:styleId="BlockText">
    <w:name w:val="Block Text"/>
    <w:basedOn w:val="Corpodeltesto"/>
    <w:next w:val="Corpodeltesto"/>
    <w:uiPriority w:val="9"/>
    <w:unhideWhenUsed w:val="1"/>
    <w:qFormat w:val="1"/>
    <w:pPr>
      <w:spacing w:after="100" w:before="100"/>
      <w:ind w:left="480" w:right="480" w:hanging="0"/>
    </w:pPr>
    <w:rPr/>
  </w:style>
  <w:style w:type="paragraph" w:styleId="Notaapidipagina">
    <w:name w:val="Footnote Text"/>
    <w:basedOn w:val="Normal"/>
    <w:uiPriority w:val="9"/>
    <w:unhideWhenUsed w:val="1"/>
    <w:qFormat w:val="1"/>
    <w:pPr/>
    <w:rPr/>
  </w:style>
  <w:style w:type="paragraph" w:styleId="FootnoteBlockText">
    <w:name w:val="Footnote Block Text"/>
    <w:basedOn w:val="Notaapidipagina"/>
    <w:next w:val="Notaapidipagina"/>
    <w:uiPriority w:val="9"/>
    <w:unhideWhenUsed w:val="1"/>
    <w:qFormat w:val="1"/>
    <w:pPr>
      <w:spacing w:after="100" w:before="100"/>
      <w:ind w:left="480" w:right="480" w:hanging="0"/>
    </w:pPr>
    <w:rPr/>
  </w:style>
  <w:style w:type="paragraph" w:styleId="DefinitionTerm" w:customStyle="1">
    <w:name w:val="Definition Term"/>
    <w:basedOn w:val="Normal"/>
    <w:next w:val="Definition"/>
    <w:qFormat w:val="1"/>
    <w:pPr>
      <w:keepNext w:val="1"/>
      <w:keepLines w:val="1"/>
      <w:spacing w:after="0" w:before="0"/>
    </w:pPr>
    <w:rPr>
      <w:b w:val="1"/>
    </w:rPr>
  </w:style>
  <w:style w:type="paragraph" w:styleId="Definition" w:customStyle="1">
    <w:name w:val="Definition"/>
    <w:basedOn w:val="Normal"/>
    <w:qFormat w:val="1"/>
    <w:pPr/>
    <w:rPr/>
  </w:style>
  <w:style w:type="paragraph" w:styleId="TableCaption" w:customStyle="1">
    <w:name w:val="Table Caption"/>
    <w:basedOn w:val="Didascalia"/>
    <w:qFormat w:val="1"/>
    <w:pPr>
      <w:keepNext w:val="1"/>
    </w:pPr>
    <w:rPr/>
  </w:style>
  <w:style w:type="paragraph" w:styleId="ImageCaption" w:customStyle="1">
    <w:name w:val="Image Caption"/>
    <w:basedOn w:val="Didascalia"/>
    <w:qFormat w:val="1"/>
    <w:pPr/>
    <w:rPr/>
  </w:style>
  <w:style w:type="paragraph" w:styleId="Figura" w:customStyle="1">
    <w:name w:val="Figura"/>
    <w:basedOn w:val="Normal"/>
    <w:qFormat w:val="1"/>
    <w:pPr/>
    <w:rPr/>
  </w:style>
  <w:style w:type="paragraph" w:styleId="CaptionedFigure" w:customStyle="1">
    <w:name w:val="Captioned Figure"/>
    <w:basedOn w:val="Figura"/>
    <w:qFormat w:val="1"/>
    <w:pPr>
      <w:keepNext w:val="1"/>
    </w:pPr>
    <w:rPr/>
  </w:style>
  <w:style w:type="paragraph" w:styleId="TOCHeading">
    <w:name w:val="TOC Heading"/>
    <w:basedOn w:val="Titolo1"/>
    <w:next w:val="Corpodeltesto"/>
    <w:uiPriority w:val="39"/>
    <w:unhideWhenUsed w:val="1"/>
    <w:qFormat w:val="1"/>
    <w:pPr>
      <w:spacing w:after="80" w:before="240" w:line="259" w:lineRule="auto"/>
    </w:pPr>
    <w:rPr>
      <w:rFonts w:ascii="Aptos Display" w:cs="" w:eastAsia="" w:hAnsi="Aptos Display" w:asciiTheme="majorHAnsi" w:cstheme="majorBidi" w:eastAsiaTheme="majorEastAsia" w:hAnsiTheme="majorHAnsi"/>
      <w:b w:val="0"/>
      <w:bCs w:val="0"/>
      <w:color w:val="365f91" w:themeColor="accent1" w:themeShade="0000BF"/>
    </w:rPr>
  </w:style>
  <w:style w:type="paragraph" w:styleId="SourceCode" w:customStyle="1">
    <w:name w:val="Source Code"/>
    <w:basedOn w:val="Normal"/>
    <w:link w:val="VerbatimChar"/>
    <w:qFormat w:val="1"/>
    <w:pPr/>
    <w:rPr/>
  </w:style>
  <w:style w:type="table" w:styleId="Table" w:default="1">
    <w:name w:val="Table"/>
    <w:basedOn w:val="TableNormal"/>
    <w:semiHidden w:val="1"/>
    <w:unhideWhenUsed w:val="1"/>
    <w:qFormat w:val="1"/>
    <w:tblPr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/>
      <w:tcPr>
        <w:tcBorders>
          <w:bottom w:space="0" w:sz="0" w:val="single"/>
        </w:tcBorders>
        <w:vAlign w:val="bottom"/>
      </w:tcPr>
    </w:tblStylePr>
  </w:style>
  <w:style w:type="paragraph" w:styleId="Subtitle">
    <w:name w:val="Subtitle"/>
    <w:basedOn w:val="Normal"/>
    <w:next w:val="Normal"/>
    <w:pPr>
      <w:spacing w:after="80" w:before="0" w:line="24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Spi5RPgBMcwoEtg9X1VfzCg5kQ==">CgMxLjAyD2lkLmh5dGY3ZWducTlsbTIPaWQuMjRod3dqMXZqNmxxMg9pZC45ODU2Yjg4dng1bTYyD2lkLmw2YnplaHJwd3gwajIPaWQueXF0b2ozaGR0OXQwMg9pZC44cHNqbHozM2lpOTEyD2lkLmUxbWd3M2dkYmdsNDIPaWQuMnI1bTBhd3M2b3JmMg9pZC5qbmU5c2pxcmNzcTMyD2lkLnQ2NWJtcGFmcjR2aTIPaWQuN2VmeTRyZ3ZubDU0Mg9pZC5iZ2Jzc2F3NzRneTcyD2lkLmtnNHVtZ25pNTJ4ZjgAciExeXM4aC04aFhqaG4zb1NhNDVZRDRSM3V6MHRNOGZLR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2026-01-29T18:08:15Z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